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7723978A" w:rsidR="00314340" w:rsidRPr="002A1102" w:rsidRDefault="00B3725A" w:rsidP="0078275F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78275F" w:rsidRPr="0078275F">
        <w:rPr>
          <w:b/>
          <w:bCs/>
          <w:sz w:val="16"/>
        </w:rPr>
        <w:t>Зиновьевой Марины Михайловны</w:t>
      </w:r>
      <w:r w:rsidR="002A1102">
        <w:rPr>
          <w:b/>
          <w:bCs/>
          <w:sz w:val="16"/>
        </w:rPr>
        <w:t xml:space="preserve"> </w:t>
      </w:r>
      <w:proofErr w:type="spellStart"/>
      <w:r w:rsidRPr="00B3725A">
        <w:rPr>
          <w:b/>
          <w:sz w:val="16"/>
        </w:rPr>
        <w:t>Железинский</w:t>
      </w:r>
      <w:proofErr w:type="spellEnd"/>
      <w:r w:rsidRPr="00B3725A">
        <w:rPr>
          <w:b/>
          <w:sz w:val="16"/>
        </w:rPr>
        <w:t xml:space="preserve">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436E0C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78275F" w:rsidRPr="0078275F">
        <w:rPr>
          <w:bCs/>
          <w:sz w:val="16"/>
        </w:rPr>
        <w:t>города Санкт-Петербурга и Ленинградской области от 03.08.2023 г. по делу</w:t>
      </w:r>
      <w:r w:rsidR="0078275F">
        <w:rPr>
          <w:bCs/>
          <w:sz w:val="16"/>
        </w:rPr>
        <w:t xml:space="preserve"> </w:t>
      </w:r>
      <w:r w:rsidR="0078275F" w:rsidRPr="0078275F">
        <w:rPr>
          <w:bCs/>
          <w:sz w:val="16"/>
        </w:rPr>
        <w:t>№ А56-50868/2023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5122AB65" w:rsidR="00314340" w:rsidRPr="00436E0C" w:rsidRDefault="00436E0C" w:rsidP="0078275F">
      <w:pPr>
        <w:pStyle w:val="1"/>
        <w:ind w:left="207"/>
        <w:jc w:val="left"/>
        <w:rPr>
          <w:b w:val="0"/>
          <w:bCs w:val="0"/>
        </w:rPr>
      </w:pPr>
      <w:r>
        <w:tab/>
      </w:r>
      <w:r w:rsidR="00B3725A">
        <w:t>Лот</w:t>
      </w:r>
      <w:r w:rsidR="00B3725A" w:rsidRPr="00B3725A">
        <w:rPr>
          <w:spacing w:val="-2"/>
        </w:rPr>
        <w:t xml:space="preserve"> </w:t>
      </w:r>
      <w:r w:rsidR="00B3725A" w:rsidRPr="00B3725A">
        <w:t>№1:</w:t>
      </w:r>
      <w:r w:rsidR="00B3725A" w:rsidRPr="00B3725A">
        <w:rPr>
          <w:spacing w:val="-1"/>
        </w:rPr>
        <w:t xml:space="preserve"> </w:t>
      </w:r>
      <w:r w:rsidR="0078275F" w:rsidRPr="0078275F">
        <w:t xml:space="preserve">- Дебиторская Задолженность к </w:t>
      </w:r>
      <w:proofErr w:type="spellStart"/>
      <w:r w:rsidR="0078275F" w:rsidRPr="0078275F">
        <w:t>Монжола</w:t>
      </w:r>
      <w:proofErr w:type="spellEnd"/>
      <w:r w:rsidR="0078275F" w:rsidRPr="0078275F"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78275F">
        <w:t xml:space="preserve"> </w:t>
      </w:r>
      <w:r w:rsidR="00B3725A" w:rsidRPr="00436E0C">
        <w:rPr>
          <w:b w:val="0"/>
          <w:bCs w:val="0"/>
          <w:color w:val="333333"/>
        </w:rPr>
        <w:t>перечисляет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расчетный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счет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Организатора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указанный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в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сообщении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проведении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денежные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средства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(</w:t>
      </w:r>
      <w:r w:rsidR="00140A8E" w:rsidRPr="00436E0C">
        <w:rPr>
          <w:b w:val="0"/>
          <w:bCs w:val="0"/>
          <w:color w:val="333333"/>
        </w:rPr>
        <w:t>10</w:t>
      </w:r>
      <w:r w:rsidR="00B3725A" w:rsidRPr="00436E0C">
        <w:rPr>
          <w:b w:val="0"/>
          <w:bCs w:val="0"/>
          <w:color w:val="333333"/>
        </w:rPr>
        <w:t>%)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начальной</w:t>
      </w:r>
      <w:r w:rsidR="00B3725A" w:rsidRPr="00436E0C">
        <w:rPr>
          <w:rFonts w:ascii="Microsoft Sans Serif" w:hAnsi="Microsoft Sans Serif"/>
          <w:b w:val="0"/>
          <w:bCs w:val="0"/>
          <w:color w:val="333333"/>
        </w:rPr>
        <w:t xml:space="preserve">̆ </w:t>
      </w:r>
      <w:r w:rsidR="00B3725A" w:rsidRPr="00436E0C">
        <w:rPr>
          <w:b w:val="0"/>
          <w:bCs w:val="0"/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05627DCB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D47588" w:rsidRPr="0078275F">
              <w:rPr>
                <w:b/>
                <w:bCs/>
                <w:sz w:val="16"/>
              </w:rPr>
              <w:t>Зиновьевой Марины Михайловны</w:t>
            </w:r>
            <w:r w:rsidR="00D47588">
              <w:rPr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Железинский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11C63D9A" w:rsidR="00314340" w:rsidRDefault="00D47588">
            <w:pPr>
              <w:pStyle w:val="TableParagraph"/>
              <w:rPr>
                <w:b/>
                <w:sz w:val="16"/>
              </w:rPr>
            </w:pPr>
            <w:r w:rsidRPr="0078275F">
              <w:rPr>
                <w:b/>
                <w:bCs/>
                <w:sz w:val="16"/>
              </w:rPr>
              <w:t>Зиновьевой Марины Михайловны</w:t>
            </w:r>
            <w:bookmarkStart w:id="0" w:name="_GoBack"/>
            <w:bookmarkEnd w:id="0"/>
            <w:r w:rsidR="00B3725A" w:rsidRPr="00B3725A">
              <w:rPr>
                <w:b/>
                <w:sz w:val="16"/>
              </w:rPr>
              <w:t xml:space="preserve"> </w:t>
            </w:r>
            <w:proofErr w:type="spellStart"/>
            <w:r w:rsidR="00B3725A">
              <w:rPr>
                <w:b/>
                <w:sz w:val="16"/>
              </w:rPr>
              <w:t>Железинский</w:t>
            </w:r>
            <w:proofErr w:type="spellEnd"/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A1102"/>
    <w:rsid w:val="00314340"/>
    <w:rsid w:val="00436E0C"/>
    <w:rsid w:val="006C2DFB"/>
    <w:rsid w:val="0078275F"/>
    <w:rsid w:val="008E6B39"/>
    <w:rsid w:val="009205DB"/>
    <w:rsid w:val="00954A81"/>
    <w:rsid w:val="00B3725A"/>
    <w:rsid w:val="00D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2026-03-13T08:06:00Z</dcterms:created>
  <dcterms:modified xsi:type="dcterms:W3CDTF">2026-03-13T08:06:00Z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